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91F" w:rsidRPr="00C2391F" w:rsidRDefault="00C2391F" w:rsidP="00C2391F">
      <w:pPr>
        <w:shd w:val="clear" w:color="auto" w:fill="FFFFFF"/>
        <w:spacing w:after="150" w:line="240" w:lineRule="auto"/>
        <w:rPr>
          <w:rFonts w:ascii="Open Sans" w:eastAsia="Times New Roman" w:hAnsi="Open Sans" w:cs="Arial"/>
          <w:color w:val="555555"/>
          <w:sz w:val="21"/>
          <w:szCs w:val="21"/>
          <w:lang w:val="en"/>
        </w:rPr>
      </w:pPr>
      <w:r w:rsidRPr="00C2391F">
        <w:rPr>
          <w:rFonts w:ascii="Open Sans" w:eastAsia="Times New Roman" w:hAnsi="Open Sans" w:cs="Arial"/>
          <w:color w:val="555555"/>
          <w:sz w:val="21"/>
          <w:szCs w:val="21"/>
          <w:lang w:val="en"/>
        </w:rPr>
        <w:t> </w:t>
      </w:r>
      <w:r w:rsidRPr="00C2391F">
        <w:rPr>
          <w:rFonts w:ascii="Open Sans" w:eastAsia="Times New Roman" w:hAnsi="Open Sans" w:cs="Arial"/>
          <w:b/>
          <w:bCs/>
          <w:color w:val="555555"/>
          <w:sz w:val="21"/>
          <w:szCs w:val="21"/>
          <w:lang w:val="en"/>
        </w:rPr>
        <w:t>Encephalopathy and toxic encephalopathy</w:t>
      </w:r>
      <w:r w:rsidRPr="00C2391F">
        <w:rPr>
          <w:rFonts w:ascii="Open Sans" w:eastAsia="Times New Roman" w:hAnsi="Open Sans" w:cs="Arial"/>
          <w:color w:val="555555"/>
          <w:sz w:val="21"/>
          <w:szCs w:val="21"/>
          <w:lang w:val="en"/>
        </w:rPr>
        <w:t xml:space="preserve"> </w:t>
      </w:r>
    </w:p>
    <w:p w:rsidR="00C2391F" w:rsidRPr="00C2391F" w:rsidRDefault="00C2391F" w:rsidP="00C2391F">
      <w:pPr>
        <w:shd w:val="clear" w:color="auto" w:fill="FFFFFF"/>
        <w:spacing w:after="150" w:line="240" w:lineRule="auto"/>
        <w:rPr>
          <w:rFonts w:ascii="Open Sans" w:eastAsia="Times New Roman" w:hAnsi="Open Sans" w:cs="Arial"/>
          <w:color w:val="555555"/>
          <w:sz w:val="21"/>
          <w:szCs w:val="21"/>
          <w:lang w:val="en"/>
        </w:rPr>
      </w:pPr>
      <w:r w:rsidRPr="00C2391F">
        <w:rPr>
          <w:rFonts w:ascii="Open Sans" w:eastAsia="Times New Roman" w:hAnsi="Open Sans" w:cs="Arial"/>
          <w:color w:val="555555"/>
          <w:sz w:val="21"/>
          <w:szCs w:val="21"/>
          <w:lang w:val="en"/>
        </w:rPr>
        <w:t xml:space="preserve">Prior to FY 2021, an Excludes1 note under code subcategory G93.4- (other and unspecified encephalopathy) prevented the assignment of a code from subcategory G93.4- when a patient also had a diagnosis of toxic encephalopathy (reported with ICD-10-CM code G92).  </w:t>
      </w:r>
    </w:p>
    <w:p w:rsidR="00C2391F" w:rsidRPr="00C2391F" w:rsidRDefault="00C2391F" w:rsidP="00C2391F">
      <w:pPr>
        <w:shd w:val="clear" w:color="auto" w:fill="FFFFFF"/>
        <w:spacing w:after="150" w:line="240" w:lineRule="auto"/>
        <w:rPr>
          <w:rFonts w:ascii="Open Sans" w:eastAsia="Times New Roman" w:hAnsi="Open Sans" w:cs="Arial"/>
          <w:color w:val="555555"/>
          <w:sz w:val="21"/>
          <w:szCs w:val="21"/>
          <w:lang w:val="en"/>
        </w:rPr>
      </w:pPr>
      <w:r w:rsidRPr="00C2391F">
        <w:rPr>
          <w:rFonts w:ascii="Open Sans" w:eastAsia="Times New Roman" w:hAnsi="Open Sans" w:cs="Arial"/>
          <w:color w:val="555555"/>
          <w:sz w:val="21"/>
          <w:szCs w:val="21"/>
          <w:lang w:val="en"/>
        </w:rPr>
        <w:t xml:space="preserve">This Excludes1 note has been changed to an Excludes2 note for FY 2021. This means coders can now report both toxic encephalopathy and metabolic encephalopathy. </w:t>
      </w:r>
    </w:p>
    <w:p w:rsidR="00C2391F" w:rsidRPr="00C2391F" w:rsidRDefault="00C2391F" w:rsidP="00C2391F">
      <w:pPr>
        <w:shd w:val="clear" w:color="auto" w:fill="FFFFFF"/>
        <w:spacing w:after="150" w:line="240" w:lineRule="auto"/>
        <w:rPr>
          <w:rFonts w:ascii="Open Sans" w:eastAsia="Times New Roman" w:hAnsi="Open Sans" w:cs="Arial"/>
          <w:color w:val="555555"/>
          <w:sz w:val="21"/>
          <w:szCs w:val="21"/>
          <w:lang w:val="en"/>
        </w:rPr>
      </w:pPr>
      <w:r w:rsidRPr="00C2391F">
        <w:rPr>
          <w:rFonts w:ascii="Open Sans" w:eastAsia="Times New Roman" w:hAnsi="Open Sans" w:cs="Arial"/>
          <w:color w:val="555555"/>
          <w:sz w:val="21"/>
          <w:szCs w:val="21"/>
          <w:lang w:val="en"/>
        </w:rPr>
        <w:t>On initial consideration this may seem like a benign change since encephalopathy is most often a secondary diagnosis and coding two MCCs has the same effect on the MS-DRG as only reporting one MCC. However, there are occasions when the ability to code both may lead to a higher MS-DRG.</w:t>
      </w:r>
    </w:p>
    <w:p w:rsidR="00C2391F" w:rsidRPr="00C2391F" w:rsidRDefault="00C2391F" w:rsidP="00C2391F">
      <w:pPr>
        <w:shd w:val="clear" w:color="auto" w:fill="FFFFFF"/>
        <w:spacing w:after="150" w:line="240" w:lineRule="auto"/>
        <w:rPr>
          <w:rFonts w:ascii="Open Sans" w:eastAsia="Times New Roman" w:hAnsi="Open Sans" w:cs="Arial"/>
          <w:color w:val="555555"/>
          <w:sz w:val="21"/>
          <w:szCs w:val="21"/>
          <w:lang w:val="en"/>
        </w:rPr>
      </w:pPr>
      <w:r w:rsidRPr="00C2391F">
        <w:rPr>
          <w:rFonts w:ascii="Open Sans" w:eastAsia="Times New Roman" w:hAnsi="Open Sans" w:cs="Arial"/>
          <w:color w:val="555555"/>
          <w:sz w:val="21"/>
          <w:szCs w:val="21"/>
          <w:lang w:val="en"/>
        </w:rPr>
        <w:t>Consider this example of a scenario I have seen several times:</w:t>
      </w:r>
    </w:p>
    <w:p w:rsidR="00C2391F" w:rsidRPr="00C2391F" w:rsidRDefault="00C2391F" w:rsidP="00C2391F">
      <w:pPr>
        <w:shd w:val="clear" w:color="auto" w:fill="FFFFFF"/>
        <w:spacing w:after="150" w:line="240" w:lineRule="auto"/>
        <w:rPr>
          <w:rFonts w:ascii="Open Sans" w:eastAsia="Times New Roman" w:hAnsi="Open Sans" w:cs="Arial"/>
          <w:color w:val="555555"/>
          <w:sz w:val="21"/>
          <w:szCs w:val="21"/>
          <w:lang w:val="en"/>
        </w:rPr>
      </w:pPr>
      <w:r w:rsidRPr="00C2391F">
        <w:rPr>
          <w:rFonts w:ascii="Open Sans" w:eastAsia="Times New Roman" w:hAnsi="Open Sans" w:cs="Arial"/>
          <w:i/>
          <w:iCs/>
          <w:color w:val="555555"/>
          <w:sz w:val="21"/>
          <w:szCs w:val="21"/>
          <w:lang w:val="en"/>
        </w:rPr>
        <w:t>A patient presents with altered mental status. She is noted to have a urinary tract infection (UTI) and has some improvement in mental status with treatment of the UTI. The providers also noted that two of her long-term medications, one more recently prescribed, can cause altered mental status. Some medication adjustments are made followed by further improvement in mental status. The admission is five days long and the final diagnosis is encephalopathy due to polypharmacy with a metabolic component due to UTI. </w:t>
      </w:r>
    </w:p>
    <w:p w:rsidR="00C2391F" w:rsidRPr="00C2391F" w:rsidRDefault="00C2391F" w:rsidP="00C2391F">
      <w:pPr>
        <w:shd w:val="clear" w:color="auto" w:fill="FFFFFF"/>
        <w:spacing w:after="150" w:line="240" w:lineRule="auto"/>
        <w:rPr>
          <w:rFonts w:ascii="Open Sans" w:eastAsia="Times New Roman" w:hAnsi="Open Sans" w:cs="Arial"/>
          <w:color w:val="555555"/>
          <w:sz w:val="21"/>
          <w:szCs w:val="21"/>
          <w:lang w:val="en"/>
        </w:rPr>
      </w:pPr>
      <w:r w:rsidRPr="00C2391F">
        <w:rPr>
          <w:rFonts w:ascii="Open Sans" w:eastAsia="Times New Roman" w:hAnsi="Open Sans" w:cs="Arial"/>
          <w:color w:val="555555"/>
          <w:sz w:val="21"/>
          <w:szCs w:val="21"/>
          <w:lang w:val="en"/>
        </w:rPr>
        <w:t>If toxic encephalopathy (encephalopathy due to drug) is sequenced as the principal diagnosis, metabolic encephalopathy as a secondary diagnosis will act as an MCC. The table below shows the coding and MS-DRG difference between FY 2020 and FY 2021.</w:t>
      </w:r>
    </w:p>
    <w:p w:rsidR="00C2391F" w:rsidRPr="00C2391F" w:rsidRDefault="00C2391F" w:rsidP="00C2391F">
      <w:pPr>
        <w:shd w:val="clear" w:color="auto" w:fill="FFFFFF"/>
        <w:spacing w:after="0" w:line="240" w:lineRule="auto"/>
        <w:rPr>
          <w:rFonts w:ascii="Open Sans" w:eastAsia="Times New Roman" w:hAnsi="Open Sans" w:cs="Arial"/>
          <w:color w:val="555555"/>
          <w:sz w:val="21"/>
          <w:szCs w:val="21"/>
          <w:lang w:val="en"/>
        </w:rPr>
      </w:pPr>
      <w:r w:rsidRPr="00C2391F">
        <w:rPr>
          <w:noProof/>
        </w:rPr>
        <w:drawing>
          <wp:inline distT="0" distB="0" distL="0" distR="0" wp14:anchorId="252BCCFE" wp14:editId="1A48E07A">
            <wp:extent cx="6086475" cy="2057400"/>
            <wp:effectExtent l="0" t="0" r="9525" b="0"/>
            <wp:docPr id="1" name="Picture 1" descr="C:\Users\mmascarenaz\AppData\Local\Microsoft\Windows\INetCache\Content.MSO\DDC22E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scarenaz\AppData\Local\Microsoft\Windows\INetCache\Content.MSO\DDC22EC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6475" cy="2057400"/>
                    </a:xfrm>
                    <a:prstGeom prst="rect">
                      <a:avLst/>
                    </a:prstGeom>
                    <a:noFill/>
                    <a:ln>
                      <a:noFill/>
                    </a:ln>
                  </pic:spPr>
                </pic:pic>
              </a:graphicData>
            </a:graphic>
          </wp:inline>
        </w:drawing>
      </w:r>
    </w:p>
    <w:p w:rsidR="00C2391F" w:rsidRPr="00C2391F" w:rsidRDefault="00C2391F" w:rsidP="00C2391F">
      <w:pPr>
        <w:shd w:val="clear" w:color="auto" w:fill="FFFFFF"/>
        <w:spacing w:after="150" w:line="240" w:lineRule="auto"/>
        <w:rPr>
          <w:rFonts w:ascii="Open Sans" w:eastAsia="Times New Roman" w:hAnsi="Open Sans" w:cs="Arial"/>
          <w:color w:val="555555"/>
          <w:sz w:val="21"/>
          <w:szCs w:val="21"/>
          <w:lang w:val="en"/>
        </w:rPr>
      </w:pPr>
    </w:p>
    <w:p w:rsidR="00C2391F" w:rsidRPr="00C2391F" w:rsidRDefault="00C2391F" w:rsidP="00C2391F">
      <w:pPr>
        <w:shd w:val="clear" w:color="auto" w:fill="FFFFFF"/>
        <w:spacing w:after="150" w:line="240" w:lineRule="auto"/>
        <w:rPr>
          <w:rFonts w:ascii="Open Sans" w:eastAsia="Times New Roman" w:hAnsi="Open Sans" w:cs="Arial"/>
          <w:color w:val="555555"/>
          <w:sz w:val="21"/>
          <w:szCs w:val="21"/>
          <w:lang w:val="en"/>
        </w:rPr>
      </w:pPr>
      <w:r w:rsidRPr="00C2391F">
        <w:rPr>
          <w:rFonts w:ascii="Open Sans" w:eastAsia="Times New Roman" w:hAnsi="Open Sans" w:cs="Arial"/>
          <w:color w:val="555555"/>
          <w:sz w:val="21"/>
          <w:szCs w:val="21"/>
          <w:lang w:val="en"/>
        </w:rPr>
        <w:t>The change from an Excludes1 to an Excludes2 note for FY 2021 makes it possible to code the metabolic encephalopathy, allowing hospitals to capture the full clinical picture, appropriate reimbursement to cover the cost of care for the patient, and an expected length of stay that more closely matches the actual length of stay.  </w:t>
      </w:r>
    </w:p>
    <w:p w:rsidR="003F41E0" w:rsidRDefault="003F41E0">
      <w:bookmarkStart w:id="0" w:name="_GoBack"/>
      <w:bookmarkEnd w:id="0"/>
    </w:p>
    <w:sectPr w:rsidR="003F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1F"/>
    <w:rsid w:val="003F41E0"/>
    <w:rsid w:val="00C2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A2343-E964-446A-B637-31505E64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30988">
      <w:bodyDiv w:val="1"/>
      <w:marLeft w:val="0"/>
      <w:marRight w:val="0"/>
      <w:marTop w:val="0"/>
      <w:marBottom w:val="0"/>
      <w:divBdr>
        <w:top w:val="none" w:sz="0" w:space="0" w:color="auto"/>
        <w:left w:val="none" w:sz="0" w:space="0" w:color="auto"/>
        <w:bottom w:val="none" w:sz="0" w:space="0" w:color="auto"/>
        <w:right w:val="none" w:sz="0" w:space="0" w:color="auto"/>
      </w:divBdr>
      <w:divsChild>
        <w:div w:id="1526017997">
          <w:marLeft w:val="0"/>
          <w:marRight w:val="0"/>
          <w:marTop w:val="0"/>
          <w:marBottom w:val="0"/>
          <w:divBdr>
            <w:top w:val="none" w:sz="0" w:space="0" w:color="auto"/>
            <w:left w:val="none" w:sz="0" w:space="0" w:color="auto"/>
            <w:bottom w:val="none" w:sz="0" w:space="0" w:color="auto"/>
            <w:right w:val="none" w:sz="0" w:space="0" w:color="auto"/>
          </w:divBdr>
          <w:divsChild>
            <w:div w:id="1130440692">
              <w:marLeft w:val="-150"/>
              <w:marRight w:val="-150"/>
              <w:marTop w:val="0"/>
              <w:marBottom w:val="0"/>
              <w:divBdr>
                <w:top w:val="none" w:sz="0" w:space="0" w:color="auto"/>
                <w:left w:val="none" w:sz="0" w:space="0" w:color="auto"/>
                <w:bottom w:val="none" w:sz="0" w:space="0" w:color="auto"/>
                <w:right w:val="none" w:sz="0" w:space="0" w:color="auto"/>
              </w:divBdr>
              <w:divsChild>
                <w:div w:id="1124157103">
                  <w:marLeft w:val="0"/>
                  <w:marRight w:val="0"/>
                  <w:marTop w:val="0"/>
                  <w:marBottom w:val="0"/>
                  <w:divBdr>
                    <w:top w:val="none" w:sz="0" w:space="0" w:color="auto"/>
                    <w:left w:val="none" w:sz="0" w:space="0" w:color="auto"/>
                    <w:bottom w:val="none" w:sz="0" w:space="0" w:color="auto"/>
                    <w:right w:val="none" w:sz="0" w:space="0" w:color="auto"/>
                  </w:divBdr>
                  <w:divsChild>
                    <w:div w:id="49620926">
                      <w:marLeft w:val="960"/>
                      <w:marRight w:val="0"/>
                      <w:marTop w:val="0"/>
                      <w:marBottom w:val="0"/>
                      <w:divBdr>
                        <w:top w:val="none" w:sz="0" w:space="0" w:color="DDDDDD"/>
                        <w:left w:val="none" w:sz="0" w:space="0" w:color="DDDDDD"/>
                        <w:bottom w:val="none" w:sz="0" w:space="0" w:color="DDDDDD"/>
                        <w:right w:val="none" w:sz="0" w:space="0" w:color="DDDDDD"/>
                      </w:divBdr>
                      <w:divsChild>
                        <w:div w:id="1933319584">
                          <w:marLeft w:val="0"/>
                          <w:marRight w:val="0"/>
                          <w:marTop w:val="0"/>
                          <w:marBottom w:val="0"/>
                          <w:divBdr>
                            <w:top w:val="none" w:sz="0" w:space="0" w:color="auto"/>
                            <w:left w:val="none" w:sz="0" w:space="0" w:color="auto"/>
                            <w:bottom w:val="none" w:sz="0" w:space="0" w:color="auto"/>
                            <w:right w:val="none" w:sz="0" w:space="0" w:color="auto"/>
                          </w:divBdr>
                          <w:divsChild>
                            <w:div w:id="1330913265">
                              <w:marLeft w:val="0"/>
                              <w:marRight w:val="0"/>
                              <w:marTop w:val="0"/>
                              <w:marBottom w:val="0"/>
                              <w:divBdr>
                                <w:top w:val="none" w:sz="0" w:space="0" w:color="auto"/>
                                <w:left w:val="none" w:sz="0" w:space="0" w:color="auto"/>
                                <w:bottom w:val="none" w:sz="0" w:space="0" w:color="auto"/>
                                <w:right w:val="none" w:sz="0" w:space="0" w:color="auto"/>
                              </w:divBdr>
                              <w:divsChild>
                                <w:div w:id="992295281">
                                  <w:marLeft w:val="0"/>
                                  <w:marRight w:val="0"/>
                                  <w:marTop w:val="0"/>
                                  <w:marBottom w:val="0"/>
                                  <w:divBdr>
                                    <w:top w:val="none" w:sz="0" w:space="0" w:color="auto"/>
                                    <w:left w:val="none" w:sz="0" w:space="0" w:color="auto"/>
                                    <w:bottom w:val="none" w:sz="0" w:space="0" w:color="auto"/>
                                    <w:right w:val="none" w:sz="0" w:space="0" w:color="auto"/>
                                  </w:divBdr>
                                  <w:divsChild>
                                    <w:div w:id="1491367519">
                                      <w:marLeft w:val="0"/>
                                      <w:marRight w:val="0"/>
                                      <w:marTop w:val="0"/>
                                      <w:marBottom w:val="0"/>
                                      <w:divBdr>
                                        <w:top w:val="none" w:sz="0" w:space="0" w:color="auto"/>
                                        <w:left w:val="none" w:sz="0" w:space="0" w:color="auto"/>
                                        <w:bottom w:val="none" w:sz="0" w:space="0" w:color="auto"/>
                                        <w:right w:val="none" w:sz="0" w:space="0" w:color="auto"/>
                                      </w:divBdr>
                                      <w:divsChild>
                                        <w:div w:id="338428123">
                                          <w:marLeft w:val="0"/>
                                          <w:marRight w:val="0"/>
                                          <w:marTop w:val="0"/>
                                          <w:marBottom w:val="0"/>
                                          <w:divBdr>
                                            <w:top w:val="none" w:sz="0" w:space="0" w:color="auto"/>
                                            <w:left w:val="none" w:sz="0" w:space="0" w:color="auto"/>
                                            <w:bottom w:val="none" w:sz="0" w:space="0" w:color="auto"/>
                                            <w:right w:val="none" w:sz="0" w:space="0" w:color="auto"/>
                                          </w:divBdr>
                                          <w:divsChild>
                                            <w:div w:id="1391805005">
                                              <w:marLeft w:val="0"/>
                                              <w:marRight w:val="0"/>
                                              <w:marTop w:val="0"/>
                                              <w:marBottom w:val="0"/>
                                              <w:divBdr>
                                                <w:top w:val="none" w:sz="0" w:space="0" w:color="auto"/>
                                                <w:left w:val="none" w:sz="0" w:space="0" w:color="auto"/>
                                                <w:bottom w:val="none" w:sz="0" w:space="0" w:color="auto"/>
                                                <w:right w:val="none" w:sz="0" w:space="0" w:color="auto"/>
                                              </w:divBdr>
                                              <w:divsChild>
                                                <w:div w:id="1671057813">
                                                  <w:marLeft w:val="0"/>
                                                  <w:marRight w:val="0"/>
                                                  <w:marTop w:val="0"/>
                                                  <w:marBottom w:val="0"/>
                                                  <w:divBdr>
                                                    <w:top w:val="none" w:sz="0" w:space="0" w:color="auto"/>
                                                    <w:left w:val="none" w:sz="0" w:space="0" w:color="auto"/>
                                                    <w:bottom w:val="none" w:sz="0" w:space="0" w:color="auto"/>
                                                    <w:right w:val="none" w:sz="0" w:space="0" w:color="auto"/>
                                                  </w:divBdr>
                                                  <w:divsChild>
                                                    <w:div w:id="2071268679">
                                                      <w:marLeft w:val="0"/>
                                                      <w:marRight w:val="0"/>
                                                      <w:marTop w:val="0"/>
                                                      <w:marBottom w:val="0"/>
                                                      <w:divBdr>
                                                        <w:top w:val="none" w:sz="0" w:space="0" w:color="auto"/>
                                                        <w:left w:val="none" w:sz="0" w:space="0" w:color="auto"/>
                                                        <w:bottom w:val="none" w:sz="0" w:space="0" w:color="auto"/>
                                                        <w:right w:val="none" w:sz="0" w:space="0" w:color="auto"/>
                                                      </w:divBdr>
                                                      <w:divsChild>
                                                        <w:div w:id="2115662139">
                                                          <w:marLeft w:val="0"/>
                                                          <w:marRight w:val="0"/>
                                                          <w:marTop w:val="0"/>
                                                          <w:marBottom w:val="0"/>
                                                          <w:divBdr>
                                                            <w:top w:val="none" w:sz="0" w:space="0" w:color="auto"/>
                                                            <w:left w:val="none" w:sz="0" w:space="0" w:color="auto"/>
                                                            <w:bottom w:val="none" w:sz="0" w:space="0" w:color="auto"/>
                                                            <w:right w:val="none" w:sz="0" w:space="0" w:color="auto"/>
                                                          </w:divBdr>
                                                          <w:divsChild>
                                                            <w:div w:id="1792090111">
                                                              <w:marLeft w:val="0"/>
                                                              <w:marRight w:val="0"/>
                                                              <w:marTop w:val="0"/>
                                                              <w:marBottom w:val="0"/>
                                                              <w:divBdr>
                                                                <w:top w:val="none" w:sz="0" w:space="0" w:color="auto"/>
                                                                <w:left w:val="none" w:sz="0" w:space="0" w:color="auto"/>
                                                                <w:bottom w:val="none" w:sz="0" w:space="0" w:color="auto"/>
                                                                <w:right w:val="none" w:sz="0" w:space="0" w:color="auto"/>
                                                              </w:divBdr>
                                                              <w:divsChild>
                                                                <w:div w:id="1897622979">
                                                                  <w:marLeft w:val="0"/>
                                                                  <w:marRight w:val="0"/>
                                                                  <w:marTop w:val="0"/>
                                                                  <w:marBottom w:val="0"/>
                                                                  <w:divBdr>
                                                                    <w:top w:val="none" w:sz="0" w:space="0" w:color="auto"/>
                                                                    <w:left w:val="none" w:sz="0" w:space="0" w:color="auto"/>
                                                                    <w:bottom w:val="none" w:sz="0" w:space="0" w:color="auto"/>
                                                                    <w:right w:val="none" w:sz="0" w:space="0" w:color="auto"/>
                                                                  </w:divBdr>
                                                                  <w:divsChild>
                                                                    <w:div w:id="1051884906">
                                                                      <w:marLeft w:val="0"/>
                                                                      <w:marRight w:val="0"/>
                                                                      <w:marTop w:val="0"/>
                                                                      <w:marBottom w:val="0"/>
                                                                      <w:divBdr>
                                                                        <w:top w:val="none" w:sz="0" w:space="0" w:color="auto"/>
                                                                        <w:left w:val="none" w:sz="0" w:space="0" w:color="auto"/>
                                                                        <w:bottom w:val="none" w:sz="0" w:space="0" w:color="auto"/>
                                                                        <w:right w:val="none" w:sz="0" w:space="0" w:color="auto"/>
                                                                      </w:divBdr>
                                                                      <w:divsChild>
                                                                        <w:div w:id="1582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Myranda A Mascarenaz</dc:creator>
  <cp:keywords/>
  <dc:description/>
  <cp:lastModifiedBy>Myranda A Mascarenaz</cp:lastModifiedBy>
  <cp:revision>1</cp:revision>
  <dcterms:created xsi:type="dcterms:W3CDTF">2020-11-30T15:16:00Z</dcterms:created>
  <dcterms:modified xsi:type="dcterms:W3CDTF">2020-11-30T15:16:00Z</dcterms:modified>
</cp:coreProperties>
</file>